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760D1" w14:paraId="00A02A4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13CF16" w14:textId="77777777" w:rsidR="000760D1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5FC71A2" w14:textId="77777777" w:rsidR="000760D1" w:rsidRDefault="00000000">
            <w:pPr>
              <w:spacing w:after="0" w:line="240" w:lineRule="auto"/>
            </w:pPr>
            <w:r>
              <w:t>36452</w:t>
            </w:r>
          </w:p>
        </w:tc>
      </w:tr>
      <w:tr w:rsidR="000760D1" w14:paraId="5A2D0A3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B8176ED" w14:textId="77777777" w:rsidR="000760D1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0BC12E0" w14:textId="77777777" w:rsidR="000760D1" w:rsidRDefault="00000000">
            <w:pPr>
              <w:spacing w:after="0" w:line="240" w:lineRule="auto"/>
            </w:pPr>
            <w:r>
              <w:t>GRAD ILOK</w:t>
            </w:r>
          </w:p>
        </w:tc>
      </w:tr>
      <w:tr w:rsidR="000760D1" w14:paraId="0EF0A99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CEE5C58" w14:textId="77777777" w:rsidR="000760D1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F594674" w14:textId="77777777" w:rsidR="000760D1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41A77481" w14:textId="77777777" w:rsidR="000760D1" w:rsidRDefault="00000000">
      <w:r>
        <w:br/>
      </w:r>
    </w:p>
    <w:p w14:paraId="502D407E" w14:textId="77777777" w:rsidR="000760D1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310147C" w14:textId="77777777" w:rsidR="000760D1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AEEDCC5" w14:textId="77777777" w:rsidR="000760D1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89857FE" w14:textId="77777777" w:rsidR="000760D1" w:rsidRDefault="000760D1"/>
    <w:p w14:paraId="177490BB" w14:textId="77777777" w:rsidR="000760D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DE10729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0F97ED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C96B2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E0C98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60CA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FDF38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359E8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D0F11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1043A5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69C6E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2C0ED7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210A4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8548CF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4.720.625,32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46EFE2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4.757.247,17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DA444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  <w:tr w:rsidR="000760D1" w14:paraId="5A9AE5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16025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421ED8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60F2C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0E87F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3.262.880,08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041DFC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4.022.514,79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F4230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123,3</w:t>
            </w:r>
          </w:p>
        </w:tc>
      </w:tr>
      <w:tr w:rsidR="000760D1" w14:paraId="6A573B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6EFCC9" w14:textId="77777777" w:rsidR="000760D1" w:rsidRDefault="000760D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E4628A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538D2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81D7B0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1.457.745,24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3C371A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734.732,38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ADB2D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50,4</w:t>
            </w:r>
          </w:p>
        </w:tc>
      </w:tr>
      <w:tr w:rsidR="000760D1" w14:paraId="00D5EF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50AEF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D143D3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3B6B2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247141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136.483,81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992FF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113.085,75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905F2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82,9</w:t>
            </w:r>
          </w:p>
        </w:tc>
      </w:tr>
      <w:tr w:rsidR="000760D1" w14:paraId="185191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F129F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8A386D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38AB2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CAFC5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572.045,50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C001FE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586.637,02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936A1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102,6</w:t>
            </w:r>
          </w:p>
        </w:tc>
      </w:tr>
      <w:tr w:rsidR="000760D1" w14:paraId="0C307A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DCBB3" w14:textId="77777777" w:rsidR="000760D1" w:rsidRDefault="000760D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8C5A8F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AF331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D09770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435.561,69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4E6818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473.551,27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C5AB4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108,7</w:t>
            </w:r>
          </w:p>
        </w:tc>
      </w:tr>
      <w:tr w:rsidR="000760D1" w14:paraId="7E7857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A8D3F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997F62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88FBF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6F4E42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9F278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7E425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760D1" w14:paraId="10EEF7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95C52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E79E03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5CC55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9C9A71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448.459,10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DDB86B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247.865,08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8B2C4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55,3</w:t>
            </w:r>
          </w:p>
        </w:tc>
      </w:tr>
      <w:tr w:rsidR="000760D1" w14:paraId="49D09A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9AB5D" w14:textId="77777777" w:rsidR="000760D1" w:rsidRDefault="000760D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4FDBAA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AACA2B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1AC36B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448.459,10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C793A5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247.865,08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80E7C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55,3</w:t>
            </w:r>
          </w:p>
        </w:tc>
      </w:tr>
      <w:tr w:rsidR="000760D1" w14:paraId="691051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CE526" w14:textId="77777777" w:rsidR="000760D1" w:rsidRDefault="000760D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AFC6D7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6BC607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8BC8F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573.724,45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866E67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13.316,03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61E97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2,3</w:t>
            </w:r>
          </w:p>
        </w:tc>
      </w:tr>
    </w:tbl>
    <w:p w14:paraId="3201995E" w14:textId="77777777" w:rsidR="000760D1" w:rsidRDefault="000760D1">
      <w:pPr>
        <w:spacing w:after="0"/>
      </w:pPr>
    </w:p>
    <w:p w14:paraId="02656F7D" w14:textId="77777777" w:rsidR="000760D1" w:rsidRDefault="00000000">
      <w:r>
        <w:t xml:space="preserve">U razdoblju od 01. siječnja do 31. prosinca Prihodi poslovanja (razred 6) ostvareni su u iznosu od 4.757.247,17 €. Najznačajnije povećanje je zabilježeno na  Prihodi od poreza (skupina 61) dok su Rashodi poslovanja (razred 3) ostvareni u iznosu 4.022.514,79 €. Najznačajnije povećanje rashoda je na (skupini 31 ) Rashodi za zaposlene  zbog zapošljavanja djelatnika Javnih radova, i djelatnica projekta Zaželi su u ovoj godini bile zaposlene svih 12 mjeseci te </w:t>
      </w:r>
      <w:r>
        <w:lastRenderedPageBreak/>
        <w:t>povećanje Materijalnih rashoda (skupina32) najvećim dijelom zbog povećanja Intelektualnih i osobnih usluga.</w:t>
      </w:r>
    </w:p>
    <w:p w14:paraId="0872B4B4" w14:textId="77777777" w:rsidR="000760D1" w:rsidRDefault="00000000">
      <w:r>
        <w:t>U navedenom razdoblju  ostvareni su prihoda od prodaje nefinancijske imovine u  iznosu 113.085,75 € dok su rashodi za nabavu nefinancijske imovine ostvareni u iznosu 586.637,02 €. Navedeni rashod odnosi se odnose se  najvećim djelom na realizaciju kapitalnog projekta Sanacija klizišta I.G. Kovačića i obnovu pročelja upravne zgrade.</w:t>
      </w:r>
    </w:p>
    <w:p w14:paraId="338B09E7" w14:textId="77777777" w:rsidR="000760D1" w:rsidRDefault="00000000">
      <w:r>
        <w:t>U navedenom razdoblju nije bilo ostvarenih primitaka od financijske imovine i zaduživanja, dok su izdaci za financijsku imovinu iznosili 247.865,08 €, u cijelosti se odnose na otplatu kredita.</w:t>
      </w:r>
    </w:p>
    <w:p w14:paraId="7807A957" w14:textId="77777777" w:rsidR="000760D1" w:rsidRDefault="00000000">
      <w:r>
        <w:t> </w:t>
      </w:r>
    </w:p>
    <w:p w14:paraId="58F855AB" w14:textId="77777777" w:rsidR="000760D1" w:rsidRDefault="00000000">
      <w:r>
        <w:t>U razdoblju od 1. siječnja do 31.prosinca 2025. ostvaren je višak prihoda poslovanja u iznosu od 734.732,28 €, manjak prihoda od nefinancijske imovine u iznosu od 473.551,27 €, te manjak prihoda od financijske imovine u iznosu 247.865,08 €</w:t>
      </w:r>
    </w:p>
    <w:p w14:paraId="49FB684C" w14:textId="77777777" w:rsidR="000760D1" w:rsidRDefault="00000000">
      <w:r>
        <w:t> slijedom čega je na kraju izvještajnog razdoblja ostvaren ukupan višak prihoda i primitaka u iznosu od 13.316,03 €.</w:t>
      </w:r>
    </w:p>
    <w:p w14:paraId="4CDD0A05" w14:textId="77777777" w:rsidR="000760D1" w:rsidRDefault="00000000">
      <w:r>
        <w:br/>
      </w:r>
    </w:p>
    <w:p w14:paraId="56D6368F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6865B2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7F67F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84B37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A582C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545A1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D33C9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8A16D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13A2A0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68B80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A25FA0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B6AD2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DD122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1.548.856,34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CCCCD6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1.753.167,62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AEC29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113,2</w:t>
            </w:r>
          </w:p>
        </w:tc>
      </w:tr>
    </w:tbl>
    <w:p w14:paraId="60E61DE1" w14:textId="77777777" w:rsidR="000760D1" w:rsidRDefault="000760D1">
      <w:pPr>
        <w:spacing w:after="0"/>
      </w:pPr>
    </w:p>
    <w:p w14:paraId="77151F4B" w14:textId="77777777" w:rsidR="000760D1" w:rsidRDefault="00000000">
      <w:r>
        <w:t>Prihodi od poreza (skupina 61) koji su veći za 13,2% u odnosu na isto razdoblje prošle godine zbog povećanja plaća na području Grada.</w:t>
      </w:r>
    </w:p>
    <w:p w14:paraId="005E894B" w14:textId="77777777" w:rsidR="000760D1" w:rsidRDefault="000760D1"/>
    <w:p w14:paraId="45C5BE43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4D695B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0FD23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C060C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0EE80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A6CCF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CFF8A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42FC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587656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59861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E3A771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B6A9A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55538A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2.448.340,29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729474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2.629.196,33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5C5EA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107,4</w:t>
            </w:r>
          </w:p>
        </w:tc>
      </w:tr>
    </w:tbl>
    <w:p w14:paraId="4ED15DAE" w14:textId="77777777" w:rsidR="000760D1" w:rsidRDefault="000760D1">
      <w:pPr>
        <w:spacing w:after="0"/>
      </w:pPr>
    </w:p>
    <w:p w14:paraId="5103C52F" w14:textId="77777777" w:rsidR="000760D1" w:rsidRDefault="00000000">
      <w:r>
        <w:t>Pomoći iz inozemstva i od subjekata unutar općeg proračuna (skupina 63) veće su u odnosu na isto razdoblje prethodne godine za 7,40 % odnosno za 180.856,04 € no unutar skupine evidentna su odstupanja u odnosu na prošlu godinu.</w:t>
      </w:r>
    </w:p>
    <w:p w14:paraId="18B08846" w14:textId="77777777" w:rsidR="000760D1" w:rsidRDefault="000760D1"/>
    <w:p w14:paraId="4768A3FF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7DC449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83AD1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51AD8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3D624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AFEB8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A91F0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D8DC4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01F0F4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66847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4B5E36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9FF2E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F5F15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1.223.916,89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9F5429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492.024,53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C9731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40,2</w:t>
            </w:r>
          </w:p>
        </w:tc>
      </w:tr>
    </w:tbl>
    <w:p w14:paraId="13E6EAA3" w14:textId="77777777" w:rsidR="000760D1" w:rsidRDefault="000760D1">
      <w:pPr>
        <w:spacing w:after="0"/>
      </w:pPr>
    </w:p>
    <w:p w14:paraId="1CC430A2" w14:textId="77777777" w:rsidR="000760D1" w:rsidRDefault="00000000">
      <w:r>
        <w:t>Tekuće pomoći proračunu iz drugih proračuna i izvanproračunskih  korisnika (odjeljak 6331) su smanjene za 59,80 %, a smanjenje se odnosi na promjenu ekonomske klasifikacije, jer u 2024. godini sredstva fiskalnog izravnanja su se evidentirala na 6331, a od 2025. godine na odjeljku 6353.</w:t>
      </w:r>
    </w:p>
    <w:p w14:paraId="2D8A70EC" w14:textId="77777777" w:rsidR="000760D1" w:rsidRDefault="000760D1"/>
    <w:p w14:paraId="331ADECF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5EF181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2733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A8116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6F1C0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5148A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1B80B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E4388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3F4C26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06986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DD3BD5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D217D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A7A59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40.589,14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47C2E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132.200,16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CAE01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325,7</w:t>
            </w:r>
          </w:p>
        </w:tc>
      </w:tr>
    </w:tbl>
    <w:p w14:paraId="6761163C" w14:textId="77777777" w:rsidR="000760D1" w:rsidRDefault="000760D1">
      <w:pPr>
        <w:spacing w:after="0"/>
      </w:pPr>
    </w:p>
    <w:p w14:paraId="129EFB1A" w14:textId="77777777" w:rsidR="000760D1" w:rsidRDefault="00000000">
      <w:r>
        <w:t>Tekuće pomoći od izvanproračunskih korisnika (odjeljak 6341) koje su veće u odnosu na isto izvještajno razdoblje prošle godine za 225,7% odnosno za 91.611,02 €, a odnosi se na povećanje pomoći od HZMO-A, HZZ-A I HZZO-a za zaposlene na programu Javnih radova.</w:t>
      </w:r>
    </w:p>
    <w:p w14:paraId="7813DF38" w14:textId="77777777" w:rsidR="000760D1" w:rsidRDefault="000760D1"/>
    <w:p w14:paraId="2D677230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4F72DB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4653D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CD223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6880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CF2AB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67591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927A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316B90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7DF01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12E202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54CDC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23724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39.808,19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DA21CB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98.903,42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F3331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248,4</w:t>
            </w:r>
          </w:p>
        </w:tc>
      </w:tr>
    </w:tbl>
    <w:p w14:paraId="069C921F" w14:textId="77777777" w:rsidR="000760D1" w:rsidRDefault="000760D1">
      <w:pPr>
        <w:spacing w:after="0"/>
      </w:pPr>
    </w:p>
    <w:p w14:paraId="3F9E56DD" w14:textId="77777777" w:rsidR="000760D1" w:rsidRDefault="00000000">
      <w:r>
        <w:t>Kapitalne pomoći od izvanproračunskih korisnika (odjeljak 6342) koje su veće u odnosu na isto izvještajno razdoblje prošle godine za 148,4% odnosno za 59.095,23 €, a odnosi se na sanaciju klizišta I.G.Kovačića.</w:t>
      </w:r>
    </w:p>
    <w:p w14:paraId="387722D5" w14:textId="77777777" w:rsidR="000760D1" w:rsidRDefault="000760D1"/>
    <w:p w14:paraId="4D800C8F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50D5D3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EB938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46911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F953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BD889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EE82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CAE40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0AE93A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2230F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D7D083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7182B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16F6B8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3ED86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941.590,74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C111C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073974E" w14:textId="77777777" w:rsidR="000760D1" w:rsidRDefault="000760D1">
      <w:pPr>
        <w:spacing w:after="0"/>
      </w:pPr>
    </w:p>
    <w:p w14:paraId="5D806327" w14:textId="77777777" w:rsidR="000760D1" w:rsidRDefault="00000000">
      <w:r>
        <w:lastRenderedPageBreak/>
        <w:t>Pomoći fiskalnog izravnanja (odjeljak 6353), veći je za 941.590,74 € u odnosu na prethodnu godinu, a radi promjene ekonomske klasifikacije, u 2024. godini se fiskalno izravnanje evidentiralo na skupini 6331, a od 2025. godine na 6353.</w:t>
      </w:r>
    </w:p>
    <w:p w14:paraId="2168A483" w14:textId="77777777" w:rsidR="000760D1" w:rsidRDefault="000760D1"/>
    <w:p w14:paraId="467C0B28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0962E2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4E802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54C79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39D31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23579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A202D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12130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2FBDD7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A41E21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24A64B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C379B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BDFD2C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206.771,37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623E3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481.098,63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B6928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232,7</w:t>
            </w:r>
          </w:p>
        </w:tc>
      </w:tr>
    </w:tbl>
    <w:p w14:paraId="20F6210C" w14:textId="77777777" w:rsidR="000760D1" w:rsidRDefault="000760D1">
      <w:pPr>
        <w:spacing w:after="0"/>
      </w:pPr>
    </w:p>
    <w:p w14:paraId="1D5E7AAA" w14:textId="77777777" w:rsidR="000760D1" w:rsidRDefault="00000000">
      <w:r>
        <w:t>Tekuće pomoći iz državnog proračuna temeljem prijenosa EU sredstava (odjeljak 6381) iznose u ovom izvještajnom razdoblju 481.098,63 € i odnose se na pomoći iz EU Europski socijalni fond PLUS za projekt Zaželi koji je započeo u 2024. godini i zaposleno je 27 djelatnica. U prvoj polovici 2024. godine, ovih prihoda nije bilo</w:t>
      </w:r>
    </w:p>
    <w:p w14:paraId="4C94932A" w14:textId="77777777" w:rsidR="000760D1" w:rsidRDefault="000760D1"/>
    <w:p w14:paraId="7ADE9011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70717C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9C5E6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9EDC8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3FAB4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5BEB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1EE36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C59E6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6C638B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54A87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C8F42F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C926F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9A5A42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533.866,36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8556B7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87.871,79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C98ED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16,5</w:t>
            </w:r>
          </w:p>
        </w:tc>
      </w:tr>
    </w:tbl>
    <w:p w14:paraId="41FABB30" w14:textId="77777777" w:rsidR="000760D1" w:rsidRDefault="000760D1">
      <w:pPr>
        <w:spacing w:after="0"/>
      </w:pPr>
    </w:p>
    <w:p w14:paraId="4AEC08F6" w14:textId="77777777" w:rsidR="000760D1" w:rsidRDefault="00000000">
      <w:r>
        <w:t>Kapitalne pomoći temeljem prijenosa EU sredstava (odjeljak 6382) su smanjene za 83,5% u odnosu na isto izvještajno razdoblje prošle godine, a razlog je  završetak projekta Rekonstrukcija zidina, zgrade žitnice, podrumareve kuće i franjevačkog samostana u Iloku.</w:t>
      </w:r>
    </w:p>
    <w:p w14:paraId="5C20AE1E" w14:textId="77777777" w:rsidR="000760D1" w:rsidRDefault="000760D1"/>
    <w:p w14:paraId="6CC48C30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19873E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2FEBB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317FC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C0666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E477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80328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E0373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78A7F7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67C29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8616CD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56B26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8C5EE2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114.773,83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20CD6B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156.736,89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564C6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136,6</w:t>
            </w:r>
          </w:p>
        </w:tc>
      </w:tr>
    </w:tbl>
    <w:p w14:paraId="5EC0F99E" w14:textId="77777777" w:rsidR="000760D1" w:rsidRDefault="000760D1">
      <w:pPr>
        <w:spacing w:after="0"/>
      </w:pPr>
    </w:p>
    <w:p w14:paraId="2C34FEA3" w14:textId="77777777" w:rsidR="000760D1" w:rsidRDefault="00000000">
      <w:r>
        <w:t>Povećanje prihoda od komunalne naknade (odjeljak 6532) odnosno povećanje za 36,6 % u odnosu na isto izvještajno razdoblje prošle godine, do toga je došlo zbog slanja novih rješenja sa izmijenjenim  stanjem kvadrature, te učestalijeg slanja opomena i ovrha.</w:t>
      </w:r>
    </w:p>
    <w:p w14:paraId="08197DB3" w14:textId="77777777" w:rsidR="000760D1" w:rsidRDefault="000760D1"/>
    <w:p w14:paraId="54F7DE45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4E9A45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6D748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DB34F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4A27C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A3F26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54EF4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29852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1F6F76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FC70E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342952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220256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C06506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401.041,60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07178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13.448,19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DDDB6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3,4</w:t>
            </w:r>
          </w:p>
        </w:tc>
      </w:tr>
    </w:tbl>
    <w:p w14:paraId="121439EB" w14:textId="77777777" w:rsidR="000760D1" w:rsidRDefault="000760D1">
      <w:pPr>
        <w:spacing w:after="0"/>
      </w:pPr>
    </w:p>
    <w:p w14:paraId="2CFEA2FF" w14:textId="77777777" w:rsidR="000760D1" w:rsidRDefault="00000000">
      <w:r>
        <w:t>Ostale prihode (683) koji su manji za 387.593,41 € u odnosu na isto izvještajno razdoblje prošle godine i odnosi se na naplatu bankovnih garancija za neuredno izvršenje ugovornih obveza za radove na projektu Rekonstrukcija zidina, zgrade žitnice, podrumareve kuće i franjevačkog samostana u Iloku koje je Grad u prvom polugodištu 2024. godini naplatio.</w:t>
      </w:r>
    </w:p>
    <w:p w14:paraId="3FBFD413" w14:textId="77777777" w:rsidR="000760D1" w:rsidRDefault="000760D1"/>
    <w:p w14:paraId="3D37A2A9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497DC5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80B5B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8735C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E46F9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57AED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99FFB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B1767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61704A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27018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63500A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026B46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DA1587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440.806,58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789F41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620.936,83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257D4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140,9</w:t>
            </w:r>
          </w:p>
        </w:tc>
      </w:tr>
    </w:tbl>
    <w:p w14:paraId="2BE0BBC8" w14:textId="77777777" w:rsidR="000760D1" w:rsidRDefault="000760D1">
      <w:pPr>
        <w:spacing w:after="0"/>
      </w:pPr>
    </w:p>
    <w:p w14:paraId="6790A8C4" w14:textId="77777777" w:rsidR="000760D1" w:rsidRDefault="00000000">
      <w:r>
        <w:t>Plaće za zaposlene (odjeljak 3111) veći su za 40,90  % odnosno za 180.130,25 € u odnosu na isto razdoblje prethodne godine. Razlog povećanja ovih rashoda u 2025. godini odnosi se plaće na svih devet mjeseci 27 djelatnica projekta Zaželi, a u 2024. godini samo od lipnja. U svibnju 2025. godine zaposleno je 11 djelatnika javnih radova</w:t>
      </w:r>
    </w:p>
    <w:p w14:paraId="33A7617D" w14:textId="77777777" w:rsidR="000760D1" w:rsidRDefault="000760D1"/>
    <w:p w14:paraId="3753BCAC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1E58EC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9D82B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6C09D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81C73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86AAD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15546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143F4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39CEC8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83324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4EDC53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71360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5F1EB1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8.505,13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295DD2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20.568,96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0FBF5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241,8</w:t>
            </w:r>
          </w:p>
        </w:tc>
      </w:tr>
    </w:tbl>
    <w:p w14:paraId="4CED2445" w14:textId="77777777" w:rsidR="000760D1" w:rsidRDefault="000760D1">
      <w:pPr>
        <w:spacing w:after="0"/>
      </w:pPr>
    </w:p>
    <w:p w14:paraId="409536E5" w14:textId="77777777" w:rsidR="000760D1" w:rsidRDefault="00000000">
      <w:r>
        <w:t>Usluge telefona, interneta, pošte i prijevoza (odjeljak 3231) veći su za 12,063,83 € u odnosu na isto izvještajno razdoblje prošle godine. Povećanje se većinski odnosi na poštanske troškove zbog slanja ovrha i opomena za komunalnu naknadu.</w:t>
      </w:r>
    </w:p>
    <w:p w14:paraId="3767C223" w14:textId="77777777" w:rsidR="000760D1" w:rsidRDefault="000760D1"/>
    <w:p w14:paraId="228F957A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72545D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63E36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D961A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44049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2E606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F1BD0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AFE23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7C9CC4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2C1D9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535AB5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CB800F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FCA308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110.848,60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072CBE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290.367,65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C4FC4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261,9</w:t>
            </w:r>
          </w:p>
        </w:tc>
      </w:tr>
    </w:tbl>
    <w:p w14:paraId="25279815" w14:textId="77777777" w:rsidR="000760D1" w:rsidRDefault="000760D1">
      <w:pPr>
        <w:spacing w:after="0"/>
      </w:pPr>
    </w:p>
    <w:p w14:paraId="7B02306C" w14:textId="77777777" w:rsidR="000760D1" w:rsidRDefault="00000000">
      <w:r>
        <w:lastRenderedPageBreak/>
        <w:t>Intelektualne i osobne usluge  (odjeljak 3237) veći su za 179,519,05 € u odnosu na isto izvještajno razdoblje prošle godine. Povećanje se većinski odnosi na izradu analize i regulacije upravljanja prometom na nerazvrstanim cestama te o geomehaničkim  istraživanjima u dvorcu Odescalchi.</w:t>
      </w:r>
    </w:p>
    <w:p w14:paraId="1E08946D" w14:textId="77777777" w:rsidR="000760D1" w:rsidRDefault="000760D1"/>
    <w:p w14:paraId="4A32D05F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06DBFF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09DE3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5CAFB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8DDE4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56472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B438F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B65C6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6B36F5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494AE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28BB3E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3FFCE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996A35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1.262.636,40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8C746D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1.450.159,28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B7F7E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</w:tbl>
    <w:p w14:paraId="3670D765" w14:textId="77777777" w:rsidR="000760D1" w:rsidRDefault="000760D1">
      <w:pPr>
        <w:spacing w:after="0"/>
      </w:pPr>
    </w:p>
    <w:p w14:paraId="2203FE0F" w14:textId="77777777" w:rsidR="000760D1" w:rsidRDefault="00000000">
      <w:r>
        <w:t>Prijenos proračunskim korisnicima iz nadležnog proračuna za financiranje redovite djelatnosti (podskupina 367) veće su za 14,9 %, odnosno za 187.522,88 € u odnosu na isto razdoblje prethodne godine zbog povećanja plaća kod proračunskih korisnika.</w:t>
      </w:r>
    </w:p>
    <w:p w14:paraId="0E363A0D" w14:textId="77777777" w:rsidR="000760D1" w:rsidRDefault="000760D1"/>
    <w:p w14:paraId="515DCBD4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090300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16C52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53346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CC1B9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0A002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769B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F1DB2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032A7C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4D387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A3D223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1585E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7C4D9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146.990,81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7833C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133.528,66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27CCC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90,8</w:t>
            </w:r>
          </w:p>
        </w:tc>
      </w:tr>
    </w:tbl>
    <w:p w14:paraId="0FF4EF31" w14:textId="77777777" w:rsidR="000760D1" w:rsidRDefault="000760D1">
      <w:pPr>
        <w:spacing w:after="0"/>
      </w:pPr>
    </w:p>
    <w:p w14:paraId="4288F31C" w14:textId="77777777" w:rsidR="000760D1" w:rsidRDefault="00000000">
      <w:r>
        <w:t>Naknade građanima i kućanstvima na temelju osiguranja i druge naknade (skupina 37) manje su za 9,2 % u odnosu na izvještajno razdoblje prethodne godine odnosno za 13.4620150 € zbog manje podnesenih opravdanih zahtjeva za jednokratne pomoći, smanjenje broja korisnika troškova stanovanja i druge naknade.</w:t>
      </w:r>
    </w:p>
    <w:p w14:paraId="1AE34E85" w14:textId="77777777" w:rsidR="000760D1" w:rsidRDefault="000760D1"/>
    <w:p w14:paraId="1D47F386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2851A5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61FCA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E667E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ECF02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8546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A8A46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7624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67A5AC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4B89D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6B53B2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6CCC0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99A99C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102.537,66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C8091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72.088,76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AD0BAC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70,3</w:t>
            </w:r>
          </w:p>
        </w:tc>
      </w:tr>
    </w:tbl>
    <w:p w14:paraId="59E64D6A" w14:textId="77777777" w:rsidR="000760D1" w:rsidRDefault="000760D1">
      <w:pPr>
        <w:spacing w:after="0"/>
      </w:pPr>
    </w:p>
    <w:p w14:paraId="7334CA40" w14:textId="77777777" w:rsidR="000760D1" w:rsidRDefault="00000000">
      <w:r>
        <w:t>Zemljište (odjeljak 7111) manji je za 29,7% odnosno za 30.448,90 € u odnosu na isto izvještajno razdoblje prošle godine, a odnosi se na smanjenje prihoda od prodaje državnog poljoprivrednog zemljišta i prodaje gradskog zemljišta</w:t>
      </w:r>
    </w:p>
    <w:p w14:paraId="4B3FE4EC" w14:textId="77777777" w:rsidR="000760D1" w:rsidRDefault="000760D1"/>
    <w:p w14:paraId="6D3E0C52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330B69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B96C9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44D33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26F81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C5BDE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D0960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D6FEC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353BFB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94386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D05405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340801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3CD15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33.946,15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7F5360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40.996,99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E8549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14:paraId="59214193" w14:textId="77777777" w:rsidR="000760D1" w:rsidRDefault="000760D1">
      <w:pPr>
        <w:spacing w:after="0"/>
      </w:pPr>
    </w:p>
    <w:p w14:paraId="6BDD8103" w14:textId="77777777" w:rsidR="000760D1" w:rsidRDefault="00000000">
      <w:r>
        <w:t>Stambeni objekti (odjeljak 7211) veći je za 20,8% u odnosu na isto izvještajno razdoblje prošle godine, a odnosi se na povećanje prihoda od prodaje stanova u vlasništvu RH i prodaje gradskih stambenih objekata.</w:t>
      </w:r>
    </w:p>
    <w:p w14:paraId="2BAB3D69" w14:textId="77777777" w:rsidR="000760D1" w:rsidRDefault="000760D1"/>
    <w:p w14:paraId="635FBF95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45DBBA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59A2F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8DBDB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75838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03940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15572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7C05F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518928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65C17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57A9E2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D208A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761503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85.827,59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110DDA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168.353,77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D1E1D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196,2</w:t>
            </w:r>
          </w:p>
        </w:tc>
      </w:tr>
    </w:tbl>
    <w:p w14:paraId="15D1B185" w14:textId="77777777" w:rsidR="000760D1" w:rsidRDefault="000760D1">
      <w:pPr>
        <w:spacing w:after="0"/>
      </w:pPr>
    </w:p>
    <w:p w14:paraId="28940366" w14:textId="77777777" w:rsidR="000760D1" w:rsidRDefault="00000000">
      <w:r>
        <w:t>Ostali građevinski objekti (odjeljak 4214) povećana su za 96,2% u odnosu na isto razdoblje prethodne godine i odnose se na realizaciju kapitalnog projekta Sanacija klizišta I.G. Kovačića.</w:t>
      </w:r>
    </w:p>
    <w:p w14:paraId="51532FDA" w14:textId="77777777" w:rsidR="000760D1" w:rsidRDefault="000760D1"/>
    <w:p w14:paraId="7F5FA930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2F9E5F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AA554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549FB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3DA1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21E70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67B1D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DEBDE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5A9C2D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049F0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E17EDE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CB5BC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64B1C9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124.749,70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05203E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62.643,97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2DB85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50,2</w:t>
            </w:r>
          </w:p>
        </w:tc>
      </w:tr>
    </w:tbl>
    <w:p w14:paraId="348A331C" w14:textId="77777777" w:rsidR="000760D1" w:rsidRDefault="000760D1">
      <w:pPr>
        <w:spacing w:after="0"/>
      </w:pPr>
    </w:p>
    <w:p w14:paraId="34D78813" w14:textId="77777777" w:rsidR="000760D1" w:rsidRDefault="00000000">
      <w:r>
        <w:t>Uređaji, strojevi i oprema za ostale namjene (odjeljak 4227) manji je za 49,8% odnosno za 39.773,09 € u odnosu na isto razdoblje prethodne godine i odnosi se na kapitalni projekt Dječja igrališta za nabavu opreme, podloge, igrala i drugo, dok smo protekle godine imali nabavku komunalnog vozila za čišćenje javnih površina sufinanciranog od strane Ministarstva prostornog uređenja, graditeljstva i državne imovine, te na projekt Opremanje dječjih igrališta.</w:t>
      </w:r>
    </w:p>
    <w:p w14:paraId="4B8BFEA5" w14:textId="77777777" w:rsidR="000760D1" w:rsidRDefault="000760D1"/>
    <w:p w14:paraId="54B4CD31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33F7B1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0B50E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EB546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D1A70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C3CFE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C8AF4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B92B3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05677E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65FD60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B612D6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D4FBF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E9081D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193.010,94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E8FD14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279.510,75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1B91E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144,8</w:t>
            </w:r>
          </w:p>
        </w:tc>
      </w:tr>
    </w:tbl>
    <w:p w14:paraId="6E59B87D" w14:textId="77777777" w:rsidR="000760D1" w:rsidRDefault="000760D1">
      <w:pPr>
        <w:spacing w:after="0"/>
      </w:pPr>
    </w:p>
    <w:p w14:paraId="0307823C" w14:textId="77777777" w:rsidR="000760D1" w:rsidRDefault="00000000">
      <w:r>
        <w:lastRenderedPageBreak/>
        <w:t>Dodatna ulaganja na građevinskim objektima (podskupina 451) veća je za 44,8% odnosno za 86.499,81  € u odnosu na isto razdoblje prethodne godine i odnosi se na realizaciju aktivnosti kapitalnog projekta Proširenje mreže javne rasvjete, kapitalni projekt Oltar sv. Rok, kapitalni projekt Obnova pročelja upravne zgrade</w:t>
      </w:r>
    </w:p>
    <w:p w14:paraId="521BDDC9" w14:textId="77777777" w:rsidR="000760D1" w:rsidRDefault="000760D1"/>
    <w:p w14:paraId="12184563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5E03A7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A978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397C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21ADD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D4FE7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F0C8F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1BA4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2718D2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45FAD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473B5F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DAF4F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FB5704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385.813,98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46352E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197.037,80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301CD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51,1</w:t>
            </w:r>
          </w:p>
        </w:tc>
      </w:tr>
    </w:tbl>
    <w:p w14:paraId="7E3DB44C" w14:textId="77777777" w:rsidR="000760D1" w:rsidRDefault="000760D1">
      <w:pPr>
        <w:spacing w:after="0"/>
      </w:pPr>
    </w:p>
    <w:p w14:paraId="203AC770" w14:textId="77777777" w:rsidR="000760D1" w:rsidRDefault="00000000">
      <w:r>
        <w:t>Otplata glavnice primljenih kredita od tuzemnih kreditnih institucija izvan javnog sektora (odjeljak 5443) smanjen je za 48,9 % odnosno za 188.776,18 € u odnosu na isto izvještajno razdoblje prošle godine, a smanjenje je radi činjenica da je u 2024. godini izvršen povrat kratkoročnog kredita (minusa), dok u 2025. godini nije bilo istih izdataka.</w:t>
      </w:r>
    </w:p>
    <w:p w14:paraId="0A01E909" w14:textId="77777777" w:rsidR="000760D1" w:rsidRDefault="000760D1"/>
    <w:p w14:paraId="0655AD7A" w14:textId="77777777" w:rsidR="000760D1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FECE56F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37A08B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A8B12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610C6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E5099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6E129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8CB19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43276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19ED30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3FFD7" w14:textId="77777777" w:rsidR="000760D1" w:rsidRDefault="000760D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7AADD4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6B65DF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FFD45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19.597.559,36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141137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19.661.578,34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539F4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100,3</w:t>
            </w:r>
          </w:p>
        </w:tc>
      </w:tr>
    </w:tbl>
    <w:p w14:paraId="3B72A59C" w14:textId="77777777" w:rsidR="000760D1" w:rsidRDefault="000760D1">
      <w:pPr>
        <w:spacing w:after="0"/>
      </w:pPr>
    </w:p>
    <w:p w14:paraId="3848364D" w14:textId="77777777" w:rsidR="000760D1" w:rsidRDefault="00000000">
      <w:r>
        <w:t>Na ovoj bilančnoj poziciji izraženo je povećanje imovine u 2025. godini za 64.018,98 € u odnosu na 01. siječanj 2025. godine. Ovo povećanje najvećim dijelom se odnosi na povećanje na sljedećim bilančnim pozicijama:</w:t>
      </w:r>
    </w:p>
    <w:p w14:paraId="4557FFA4" w14:textId="77777777" w:rsidR="000760D1" w:rsidRDefault="000760D1"/>
    <w:p w14:paraId="5BF6FDFC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5AB560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A8A5C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AAEC8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013D0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4CE49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A7114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0ECB2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750721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48D73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2363F9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F1037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DDCFC4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852.040,91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787E7A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1.125.596,47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8D3EF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132,1</w:t>
            </w:r>
          </w:p>
        </w:tc>
      </w:tr>
    </w:tbl>
    <w:p w14:paraId="2D9C6B96" w14:textId="77777777" w:rsidR="000760D1" w:rsidRDefault="000760D1">
      <w:pPr>
        <w:spacing w:after="0"/>
      </w:pPr>
    </w:p>
    <w:p w14:paraId="64D835BA" w14:textId="77777777" w:rsidR="000760D1" w:rsidRDefault="00000000">
      <w:r>
        <w:t>Na bilančnoj poziciji Stambeni objekti (0211) evidentno je povećanje bilančne pozicije u iznosu 273.555,56 € koje se odnosi na evidentiranje dugotrajne imovine po Odluci gradonačelnice  na temelju provedenog postupka procjene vrijednosti imovine.</w:t>
      </w:r>
    </w:p>
    <w:p w14:paraId="55921169" w14:textId="77777777" w:rsidR="000760D1" w:rsidRDefault="000760D1"/>
    <w:p w14:paraId="5FB2D81D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6DAE23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9AABF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855E6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443C8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9005B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FA5CE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8CEB0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145A92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CB4A3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CAC1FC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0A230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DAC36A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88.465,03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8760EC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103.152,53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E060A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</w:tbl>
    <w:p w14:paraId="71ACCBE0" w14:textId="77777777" w:rsidR="000760D1" w:rsidRDefault="000760D1">
      <w:pPr>
        <w:spacing w:after="0"/>
      </w:pPr>
    </w:p>
    <w:p w14:paraId="0D163A07" w14:textId="77777777" w:rsidR="000760D1" w:rsidRDefault="00000000">
      <w:r>
        <w:t>Na bilančnoj poziciji Umjetnička, literarna i znanstvena djela (0263) evidentno je povećanje za 14.687,50 € a najznačajnije je za projekt Izrade prostornog plana nove generacije.</w:t>
      </w:r>
    </w:p>
    <w:p w14:paraId="28BCD684" w14:textId="77777777" w:rsidR="000760D1" w:rsidRDefault="000760D1"/>
    <w:p w14:paraId="6F7E53BA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7AE830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EF53D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309F0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121CB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A27EA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9F43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A5192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6561E2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385CC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80B742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0311C6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CDDEFA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1.107.645,49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EFF503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1.417.407,45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745EA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128,0</w:t>
            </w:r>
          </w:p>
        </w:tc>
      </w:tr>
    </w:tbl>
    <w:p w14:paraId="774D3070" w14:textId="77777777" w:rsidR="000760D1" w:rsidRDefault="000760D1">
      <w:pPr>
        <w:spacing w:after="0"/>
      </w:pPr>
    </w:p>
    <w:p w14:paraId="67482B8D" w14:textId="77777777" w:rsidR="000760D1" w:rsidRDefault="00000000">
      <w:r>
        <w:t>Na bilančnoj poziciji Građevinski objekti u pripremi ((051) evidentno je povećanje za 309.761,96 € a najznačajnije je sanacija kližišta I.G.K.</w:t>
      </w:r>
    </w:p>
    <w:p w14:paraId="56BBAB98" w14:textId="77777777" w:rsidR="000760D1" w:rsidRDefault="000760D1"/>
    <w:p w14:paraId="78B2CB38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57854F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B1DD9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50D6F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1420D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FC7AF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C720B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FF84D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5E906F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5F8CC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6673EB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9AEA1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2D0910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675.077,52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19BF4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279.689,10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88CF96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41,4</w:t>
            </w:r>
          </w:p>
        </w:tc>
      </w:tr>
    </w:tbl>
    <w:p w14:paraId="660CC2EF" w14:textId="77777777" w:rsidR="000760D1" w:rsidRDefault="000760D1">
      <w:pPr>
        <w:spacing w:after="0"/>
      </w:pPr>
    </w:p>
    <w:p w14:paraId="129F329A" w14:textId="77777777" w:rsidR="000760D1" w:rsidRDefault="00000000">
      <w:r>
        <w:t>Na bilančnoj poziciji Novac na računu kod tuzemnih poslovnih banaka (1112) evidentno je smanjenje koje se odnosi na stanje poslovnog računa Grada koji je smanjen za 195.275,13 €, te posebnog računa za projektt STARA JEZGRA koji je smanjen za 200.161,87 €.</w:t>
      </w:r>
    </w:p>
    <w:p w14:paraId="00650761" w14:textId="77777777" w:rsidR="000760D1" w:rsidRDefault="000760D1"/>
    <w:p w14:paraId="3ED8C804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0AD0A9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E08A4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E2C83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E4228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CC49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E6FFC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AC0BB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374D41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124F4C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78C452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029A1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9B391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2.412.742,78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AB6B7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2.173.728,81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059AE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90,1</w:t>
            </w:r>
          </w:p>
        </w:tc>
      </w:tr>
    </w:tbl>
    <w:p w14:paraId="29E31EC9" w14:textId="77777777" w:rsidR="000760D1" w:rsidRDefault="000760D1">
      <w:pPr>
        <w:spacing w:after="0"/>
      </w:pPr>
    </w:p>
    <w:p w14:paraId="0920C46A" w14:textId="77777777" w:rsidR="000760D1" w:rsidRDefault="00000000">
      <w:r>
        <w:t>Obveze i vlastiti izvori  obrazloženi su u bilješkama uz obrazac  PR-RAS  i obrazac  Obveze.  Općenito, najznačajnije smanjene obveza (2) je prije svega smanjenja obveza za dugoročne kredite,  te za nabavu nefinancijske imovine, dok je povećanje na obvezama za kamate za primljene kredite.</w:t>
      </w:r>
    </w:p>
    <w:p w14:paraId="491BBD3F" w14:textId="77777777" w:rsidR="000760D1" w:rsidRDefault="000760D1"/>
    <w:p w14:paraId="4837F034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69DCD2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6DE53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BCB0E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994B3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A9535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AE798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3AE26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7D2297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BCBFA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4D1C06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8E2BB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5EDD87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79.625,60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65435C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-237.150,87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5F4F0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-297,8</w:t>
            </w:r>
          </w:p>
        </w:tc>
      </w:tr>
    </w:tbl>
    <w:p w14:paraId="330F2451" w14:textId="77777777" w:rsidR="000760D1" w:rsidRDefault="000760D1">
      <w:pPr>
        <w:spacing w:after="0"/>
      </w:pPr>
    </w:p>
    <w:p w14:paraId="66F11875" w14:textId="77777777" w:rsidR="000760D1" w:rsidRDefault="00000000">
      <w:r>
        <w:t>Višak/manjak prihoda po aktivnostima na dan 31.12.2025.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03"/>
        <w:gridCol w:w="1364"/>
        <w:gridCol w:w="1610"/>
        <w:gridCol w:w="1364"/>
        <w:gridCol w:w="1364"/>
        <w:gridCol w:w="1357"/>
      </w:tblGrid>
      <w:tr w:rsidR="000760D1" w14:paraId="5BEB6C9A" w14:textId="77777777">
        <w:tc>
          <w:tcPr>
            <w:tcW w:w="834" w:type="pct"/>
            <w:vAlign w:val="center"/>
          </w:tcPr>
          <w:p w14:paraId="4A4422F6" w14:textId="77777777" w:rsidR="000760D1" w:rsidRDefault="00000000">
            <w:r>
              <w:t> </w:t>
            </w:r>
          </w:p>
        </w:tc>
        <w:tc>
          <w:tcPr>
            <w:tcW w:w="834" w:type="pct"/>
            <w:vAlign w:val="center"/>
          </w:tcPr>
          <w:p w14:paraId="32FE04C5" w14:textId="77777777" w:rsidR="000760D1" w:rsidRDefault="00000000">
            <w:r>
              <w:t>92211 Višak prihoda poslovanja</w:t>
            </w:r>
          </w:p>
        </w:tc>
        <w:tc>
          <w:tcPr>
            <w:tcW w:w="834" w:type="pct"/>
            <w:vAlign w:val="center"/>
          </w:tcPr>
          <w:p w14:paraId="5609C565" w14:textId="77777777" w:rsidR="000760D1" w:rsidRDefault="00000000">
            <w:r>
              <w:t>92222 Manjak prihoda od nefinancijske imovine</w:t>
            </w:r>
          </w:p>
        </w:tc>
        <w:tc>
          <w:tcPr>
            <w:tcW w:w="834" w:type="pct"/>
            <w:vAlign w:val="center"/>
          </w:tcPr>
          <w:p w14:paraId="4FE686A3" w14:textId="77777777" w:rsidR="000760D1" w:rsidRDefault="00000000">
            <w:r>
              <w:t>92223 Manjak primitaka od financijske imovine</w:t>
            </w:r>
          </w:p>
        </w:tc>
        <w:tc>
          <w:tcPr>
            <w:tcW w:w="834" w:type="pct"/>
            <w:vAlign w:val="center"/>
          </w:tcPr>
          <w:p w14:paraId="59C7F7FA" w14:textId="77777777" w:rsidR="000760D1" w:rsidRDefault="00000000">
            <w:r>
              <w:t>92214 Višak prihoda poslovanja ispravci iz predhodnih godina</w:t>
            </w:r>
          </w:p>
        </w:tc>
        <w:tc>
          <w:tcPr>
            <w:tcW w:w="829" w:type="pct"/>
            <w:vAlign w:val="center"/>
          </w:tcPr>
          <w:p w14:paraId="678106B6" w14:textId="77777777" w:rsidR="000760D1" w:rsidRDefault="00000000">
            <w:r>
              <w:t>92224 Manjak prihoda poslovanja ispravci iz predhodnih godina</w:t>
            </w:r>
          </w:p>
        </w:tc>
      </w:tr>
      <w:tr w:rsidR="000760D1" w14:paraId="0EA5F5BA" w14:textId="77777777">
        <w:tc>
          <w:tcPr>
            <w:tcW w:w="834" w:type="pct"/>
            <w:vAlign w:val="center"/>
          </w:tcPr>
          <w:p w14:paraId="71B22CC7" w14:textId="77777777" w:rsidR="000760D1" w:rsidRDefault="00000000">
            <w:r>
              <w:t> </w:t>
            </w:r>
          </w:p>
        </w:tc>
        <w:tc>
          <w:tcPr>
            <w:tcW w:w="834" w:type="pct"/>
            <w:vAlign w:val="center"/>
          </w:tcPr>
          <w:p w14:paraId="5B6CD084" w14:textId="77777777" w:rsidR="000760D1" w:rsidRDefault="00000000">
            <w:r>
              <w:t>734.732,38</w:t>
            </w:r>
          </w:p>
        </w:tc>
        <w:tc>
          <w:tcPr>
            <w:tcW w:w="834" w:type="pct"/>
            <w:vAlign w:val="center"/>
          </w:tcPr>
          <w:p w14:paraId="78884C77" w14:textId="77777777" w:rsidR="000760D1" w:rsidRDefault="00000000">
            <w:r>
              <w:t>473.551,27</w:t>
            </w:r>
          </w:p>
        </w:tc>
        <w:tc>
          <w:tcPr>
            <w:tcW w:w="834" w:type="pct"/>
            <w:vAlign w:val="center"/>
          </w:tcPr>
          <w:p w14:paraId="1FEA5C61" w14:textId="77777777" w:rsidR="000760D1" w:rsidRDefault="00000000">
            <w:r>
              <w:t>247.865,08</w:t>
            </w:r>
          </w:p>
        </w:tc>
        <w:tc>
          <w:tcPr>
            <w:tcW w:w="834" w:type="pct"/>
            <w:vAlign w:val="center"/>
          </w:tcPr>
          <w:p w14:paraId="7CE6C57C" w14:textId="77777777" w:rsidR="000760D1" w:rsidRDefault="00000000">
            <w:r>
              <w:t> -151.764,91</w:t>
            </w:r>
          </w:p>
        </w:tc>
        <w:tc>
          <w:tcPr>
            <w:tcW w:w="829" w:type="pct"/>
            <w:vAlign w:val="center"/>
          </w:tcPr>
          <w:p w14:paraId="3C33147E" w14:textId="77777777" w:rsidR="000760D1" w:rsidRDefault="00000000">
            <w:r>
              <w:t>178.327,59</w:t>
            </w:r>
          </w:p>
        </w:tc>
      </w:tr>
      <w:tr w:rsidR="000760D1" w14:paraId="06E02E2E" w14:textId="77777777">
        <w:tc>
          <w:tcPr>
            <w:tcW w:w="834" w:type="pct"/>
            <w:vAlign w:val="center"/>
          </w:tcPr>
          <w:p w14:paraId="0FD08CC8" w14:textId="77777777" w:rsidR="000760D1" w:rsidRDefault="00000000">
            <w:r>
              <w:t>Ukupan rezultat 2025. po kategorijama</w:t>
            </w:r>
          </w:p>
        </w:tc>
        <w:tc>
          <w:tcPr>
            <w:tcW w:w="834" w:type="pct"/>
            <w:vAlign w:val="center"/>
          </w:tcPr>
          <w:p w14:paraId="4EB58E93" w14:textId="77777777" w:rsidR="000760D1" w:rsidRDefault="00000000">
            <w:r>
              <w:t>734.732,38</w:t>
            </w:r>
          </w:p>
        </w:tc>
        <w:tc>
          <w:tcPr>
            <w:tcW w:w="834" w:type="pct"/>
            <w:vAlign w:val="center"/>
          </w:tcPr>
          <w:p w14:paraId="262B86E7" w14:textId="77777777" w:rsidR="000760D1" w:rsidRDefault="00000000">
            <w:r>
              <w:t>473.551,27</w:t>
            </w:r>
          </w:p>
        </w:tc>
        <w:tc>
          <w:tcPr>
            <w:tcW w:w="834" w:type="pct"/>
            <w:vAlign w:val="center"/>
          </w:tcPr>
          <w:p w14:paraId="6EE31C2A" w14:textId="77777777" w:rsidR="000760D1" w:rsidRDefault="00000000">
            <w:r>
              <w:t>247.865,08</w:t>
            </w:r>
          </w:p>
        </w:tc>
        <w:tc>
          <w:tcPr>
            <w:tcW w:w="834" w:type="pct"/>
            <w:vAlign w:val="center"/>
          </w:tcPr>
          <w:p w14:paraId="19BC65B4" w14:textId="77777777" w:rsidR="000760D1" w:rsidRDefault="00000000">
            <w:r>
              <w:t> </w:t>
            </w:r>
          </w:p>
        </w:tc>
        <w:tc>
          <w:tcPr>
            <w:tcW w:w="829" w:type="pct"/>
            <w:vAlign w:val="center"/>
          </w:tcPr>
          <w:p w14:paraId="6B967A56" w14:textId="77777777" w:rsidR="000760D1" w:rsidRDefault="00000000">
            <w:r>
              <w:t> </w:t>
            </w:r>
          </w:p>
        </w:tc>
      </w:tr>
      <w:tr w:rsidR="000760D1" w14:paraId="462B7C5B" w14:textId="77777777">
        <w:tc>
          <w:tcPr>
            <w:tcW w:w="834" w:type="pct"/>
            <w:vAlign w:val="center"/>
          </w:tcPr>
          <w:p w14:paraId="615854C7" w14:textId="77777777" w:rsidR="000760D1" w:rsidRDefault="00000000">
            <w:r>
              <w:t>UKUPNO 2025</w:t>
            </w:r>
          </w:p>
        </w:tc>
        <w:tc>
          <w:tcPr>
            <w:tcW w:w="834" w:type="pct"/>
            <w:gridSpan w:val="3"/>
            <w:vAlign w:val="center"/>
          </w:tcPr>
          <w:p w14:paraId="14B94DBB" w14:textId="77777777" w:rsidR="000760D1" w:rsidRDefault="00000000">
            <w:pPr>
              <w:keepNext/>
              <w:jc w:val="center"/>
            </w:pPr>
            <w:r>
              <w:t>13.316,03</w:t>
            </w:r>
          </w:p>
        </w:tc>
        <w:tc>
          <w:tcPr>
            <w:tcW w:w="834" w:type="pct"/>
            <w:vAlign w:val="center"/>
          </w:tcPr>
          <w:p w14:paraId="23E7C6F1" w14:textId="77777777" w:rsidR="000760D1" w:rsidRDefault="00000000">
            <w:r>
              <w:t> </w:t>
            </w:r>
          </w:p>
        </w:tc>
        <w:tc>
          <w:tcPr>
            <w:tcW w:w="834" w:type="pct"/>
            <w:vAlign w:val="center"/>
          </w:tcPr>
          <w:p w14:paraId="0DC7D462" w14:textId="77777777" w:rsidR="000760D1" w:rsidRDefault="00000000">
            <w:r>
              <w:t> </w:t>
            </w:r>
          </w:p>
        </w:tc>
      </w:tr>
      <w:tr w:rsidR="000760D1" w14:paraId="03B2A436" w14:textId="77777777">
        <w:tc>
          <w:tcPr>
            <w:tcW w:w="834" w:type="pct"/>
            <w:vAlign w:val="center"/>
          </w:tcPr>
          <w:p w14:paraId="0D4E9736" w14:textId="77777777" w:rsidR="000760D1" w:rsidRDefault="00000000">
            <w:r>
              <w:t>Preneseni viškovi manjkovi</w:t>
            </w:r>
          </w:p>
        </w:tc>
        <w:tc>
          <w:tcPr>
            <w:tcW w:w="834" w:type="pct"/>
            <w:vAlign w:val="center"/>
          </w:tcPr>
          <w:p w14:paraId="1B0BB887" w14:textId="77777777" w:rsidR="000760D1" w:rsidRDefault="00000000">
            <w:r>
              <w:t>725.861,23</w:t>
            </w:r>
          </w:p>
        </w:tc>
        <w:tc>
          <w:tcPr>
            <w:tcW w:w="834" w:type="pct"/>
            <w:vAlign w:val="center"/>
          </w:tcPr>
          <w:p w14:paraId="2BB2D894" w14:textId="77777777" w:rsidR="000760D1" w:rsidRDefault="00000000">
            <w:r>
              <w:t>197.776,53</w:t>
            </w:r>
          </w:p>
        </w:tc>
        <w:tc>
          <w:tcPr>
            <w:tcW w:w="834" w:type="pct"/>
            <w:vAlign w:val="center"/>
          </w:tcPr>
          <w:p w14:paraId="072B6ED3" w14:textId="77777777" w:rsidR="000760D1" w:rsidRDefault="00000000">
            <w:r>
              <w:t>448.459,10</w:t>
            </w:r>
          </w:p>
        </w:tc>
        <w:tc>
          <w:tcPr>
            <w:tcW w:w="834" w:type="pct"/>
            <w:vAlign w:val="center"/>
          </w:tcPr>
          <w:p w14:paraId="28474BF4" w14:textId="77777777" w:rsidR="000760D1" w:rsidRDefault="00000000">
            <w:r>
              <w:t> </w:t>
            </w:r>
          </w:p>
        </w:tc>
        <w:tc>
          <w:tcPr>
            <w:tcW w:w="829" w:type="pct"/>
            <w:vAlign w:val="center"/>
          </w:tcPr>
          <w:p w14:paraId="52398510" w14:textId="77777777" w:rsidR="000760D1" w:rsidRDefault="00000000">
            <w:r>
              <w:t> </w:t>
            </w:r>
          </w:p>
        </w:tc>
      </w:tr>
      <w:tr w:rsidR="000760D1" w14:paraId="68F68FC5" w14:textId="77777777">
        <w:tc>
          <w:tcPr>
            <w:tcW w:w="834" w:type="pct"/>
            <w:vAlign w:val="center"/>
          </w:tcPr>
          <w:p w14:paraId="77526695" w14:textId="77777777" w:rsidR="000760D1" w:rsidRDefault="00000000">
            <w:r>
              <w:t>Viškovi manjkovi  ispravci iz predhodnih godina</w:t>
            </w:r>
          </w:p>
        </w:tc>
        <w:tc>
          <w:tcPr>
            <w:tcW w:w="834" w:type="pct"/>
            <w:vAlign w:val="center"/>
          </w:tcPr>
          <w:p w14:paraId="2F366076" w14:textId="77777777" w:rsidR="000760D1" w:rsidRDefault="00000000">
            <w:r>
              <w:t> </w:t>
            </w:r>
          </w:p>
        </w:tc>
        <w:tc>
          <w:tcPr>
            <w:tcW w:w="834" w:type="pct"/>
            <w:vAlign w:val="center"/>
          </w:tcPr>
          <w:p w14:paraId="541F4BEF" w14:textId="77777777" w:rsidR="000760D1" w:rsidRDefault="00000000">
            <w:r>
              <w:t> </w:t>
            </w:r>
          </w:p>
        </w:tc>
        <w:tc>
          <w:tcPr>
            <w:tcW w:w="834" w:type="pct"/>
            <w:vAlign w:val="center"/>
          </w:tcPr>
          <w:p w14:paraId="4FB0EB16" w14:textId="77777777" w:rsidR="000760D1" w:rsidRDefault="00000000">
            <w:r>
              <w:t> </w:t>
            </w:r>
          </w:p>
        </w:tc>
        <w:tc>
          <w:tcPr>
            <w:tcW w:w="834" w:type="pct"/>
            <w:vAlign w:val="center"/>
          </w:tcPr>
          <w:p w14:paraId="51378DF9" w14:textId="77777777" w:rsidR="000760D1" w:rsidRDefault="00000000">
            <w:r>
              <w:t>-151.764,91</w:t>
            </w:r>
          </w:p>
        </w:tc>
        <w:tc>
          <w:tcPr>
            <w:tcW w:w="829" w:type="pct"/>
            <w:vAlign w:val="center"/>
          </w:tcPr>
          <w:p w14:paraId="5B4E6146" w14:textId="77777777" w:rsidR="000760D1" w:rsidRDefault="00000000">
            <w:r>
              <w:t>178.327,59</w:t>
            </w:r>
          </w:p>
        </w:tc>
      </w:tr>
      <w:tr w:rsidR="000760D1" w14:paraId="31D03CC8" w14:textId="77777777">
        <w:tc>
          <w:tcPr>
            <w:tcW w:w="834" w:type="pct"/>
            <w:vAlign w:val="center"/>
          </w:tcPr>
          <w:p w14:paraId="55F6747F" w14:textId="77777777" w:rsidR="000760D1" w:rsidRDefault="00000000">
            <w:r>
              <w:t>Ukupno preneseni viškovi manjkovi i ispravci iz predhodnih godina</w:t>
            </w:r>
          </w:p>
        </w:tc>
        <w:tc>
          <w:tcPr>
            <w:tcW w:w="834" w:type="pct"/>
            <w:gridSpan w:val="5"/>
            <w:vAlign w:val="center"/>
          </w:tcPr>
          <w:p w14:paraId="6AE0169C" w14:textId="77777777" w:rsidR="000760D1" w:rsidRDefault="00000000">
            <w:pPr>
              <w:keepNext/>
              <w:jc w:val="center"/>
            </w:pPr>
            <w:r>
              <w:t>409.718,10</w:t>
            </w:r>
          </w:p>
        </w:tc>
      </w:tr>
      <w:tr w:rsidR="000760D1" w14:paraId="6F5B89B7" w14:textId="77777777">
        <w:tc>
          <w:tcPr>
            <w:tcW w:w="834" w:type="pct"/>
            <w:vAlign w:val="center"/>
          </w:tcPr>
          <w:p w14:paraId="1CB8A3E5" w14:textId="77777777" w:rsidR="000760D1" w:rsidRDefault="00000000">
            <w:r>
              <w:t>Ukupan rezultat  na 922</w:t>
            </w:r>
          </w:p>
        </w:tc>
        <w:tc>
          <w:tcPr>
            <w:tcW w:w="834" w:type="pct"/>
            <w:gridSpan w:val="5"/>
            <w:vAlign w:val="center"/>
          </w:tcPr>
          <w:p w14:paraId="7274367F" w14:textId="77777777" w:rsidR="000760D1" w:rsidRDefault="00000000">
            <w:pPr>
              <w:keepNext/>
              <w:jc w:val="center"/>
            </w:pPr>
            <w:r>
              <w:t>-237.150,87</w:t>
            </w:r>
          </w:p>
        </w:tc>
      </w:tr>
    </w:tbl>
    <w:p w14:paraId="25BF1AC2" w14:textId="77777777" w:rsidR="000760D1" w:rsidRDefault="00000000">
      <w:r>
        <w:t>Nakon prebijanja viškova i manjkova po istovrsnim kategorijama, te obvezne korekcije rezultata  za kapitalne prijenose ostvaren je</w:t>
      </w:r>
    </w:p>
    <w:p w14:paraId="2F723FE5" w14:textId="77777777" w:rsidR="000760D1" w:rsidRDefault="00000000">
      <w:r>
        <w:t>-          Višak prihoda poslovanja u iznosu od 854.141,77 €,</w:t>
      </w:r>
    </w:p>
    <w:p w14:paraId="4D0A0F9A" w14:textId="77777777" w:rsidR="000760D1" w:rsidRDefault="00000000">
      <w:r>
        <w:t>-          Manjak prihoda od nefinancijske imovine u iznosu od 394.968,46 €,  </w:t>
      </w:r>
    </w:p>
    <w:p w14:paraId="160577DD" w14:textId="77777777" w:rsidR="000760D1" w:rsidRDefault="00000000">
      <w:r>
        <w:t>-          Manjak primitaka od financijske imovine u iznosu od 696.324,18 €</w:t>
      </w:r>
    </w:p>
    <w:p w14:paraId="6AD428DB" w14:textId="77777777" w:rsidR="000760D1" w:rsidRDefault="00000000">
      <w:r>
        <w:t>te je  ukupan rezultat Manjak prihoda i primitaka  u iznosu od 237.150,87 eura, koji je većinom rezultat korekcija rezultata iz prijašnjih godima.</w:t>
      </w:r>
    </w:p>
    <w:p w14:paraId="68305603" w14:textId="77777777" w:rsidR="000760D1" w:rsidRDefault="000760D1"/>
    <w:p w14:paraId="2160A60E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1AE58B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F2F52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7142A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D4BA7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C0894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1F778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FB167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6B0439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5E6EA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489EFD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080CAD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DB2E9A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543.209,37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97970D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202.292,84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A7DAD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37,2</w:t>
            </w:r>
          </w:p>
        </w:tc>
      </w:tr>
    </w:tbl>
    <w:p w14:paraId="1C16340F" w14:textId="77777777" w:rsidR="000760D1" w:rsidRDefault="000760D1">
      <w:pPr>
        <w:spacing w:after="0"/>
      </w:pPr>
    </w:p>
    <w:p w14:paraId="1AD7E038" w14:textId="77777777" w:rsidR="000760D1" w:rsidRDefault="00000000">
      <w:r>
        <w:t>Popis sporova koji predstavljaju potencijalne obveze po sudskim sporovima na dan 31.12.2025. godine iznosi 690.319,73 €.</w:t>
      </w:r>
    </w:p>
    <w:p w14:paraId="66C183BB" w14:textId="77777777" w:rsidR="000760D1" w:rsidRDefault="000760D1"/>
    <w:p w14:paraId="28E79066" w14:textId="77777777" w:rsidR="000760D1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569B6F5F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44C765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C72F2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262D1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5A88B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FB44F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53668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5096E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42CD75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477D7" w14:textId="77777777" w:rsidR="000760D1" w:rsidRDefault="000760D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C6435A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nefinancijske imovine (šifre P002 do P007)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2C224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EAEE0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77B25F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555.584,78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2CF09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0F1842" w14:textId="77777777" w:rsidR="000760D1" w:rsidRDefault="000760D1">
      <w:pPr>
        <w:spacing w:after="0"/>
      </w:pPr>
    </w:p>
    <w:p w14:paraId="612274D7" w14:textId="77777777" w:rsidR="000760D1" w:rsidRDefault="00000000">
      <w:r>
        <w:t>Promjene u vrijednosti nefinancijske imovine iznos smanjenja je ispravak vrijednosti proizvedene dugotrajne imovine 2025. godine.</w:t>
      </w:r>
    </w:p>
    <w:p w14:paraId="01E94648" w14:textId="77777777" w:rsidR="000760D1" w:rsidRDefault="000760D1"/>
    <w:p w14:paraId="6D39FA64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0D1" w14:paraId="0819CD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7BE0C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2BC89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79602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29414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7BCCC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2CFC7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12D59C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CCAC4" w14:textId="77777777" w:rsidR="000760D1" w:rsidRDefault="000760D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FBB5B7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718A1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F8A896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686301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7.211,60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ACF0A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F05375" w14:textId="77777777" w:rsidR="000760D1" w:rsidRDefault="000760D1">
      <w:pPr>
        <w:spacing w:after="0"/>
      </w:pPr>
    </w:p>
    <w:p w14:paraId="49BE82AD" w14:textId="77777777" w:rsidR="000760D1" w:rsidRDefault="00000000">
      <w:r>
        <w:t>Promjene u obujmu nefinancijske imovine iznos smanjenja je prijenos dugotrajne  imovine Dječjem vrtiću „Crvenkapica“ Ilok u iznosu 6.767,75 €.</w:t>
      </w:r>
    </w:p>
    <w:p w14:paraId="2CA7F227" w14:textId="77777777" w:rsidR="000760D1" w:rsidRDefault="000760D1"/>
    <w:p w14:paraId="42018AB3" w14:textId="77777777" w:rsidR="000760D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032C846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760D1" w14:paraId="5B118E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9F7B3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078CE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72417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07B78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D80C4" w14:textId="77777777" w:rsidR="000760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0D1" w14:paraId="444C78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E3663" w14:textId="77777777" w:rsidR="000760D1" w:rsidRDefault="000760D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C946D6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F5589" w14:textId="77777777" w:rsidR="000760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7141C9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32.074,74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F58DC5" w14:textId="77777777" w:rsidR="000760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B9F66B" w14:textId="77777777" w:rsidR="000760D1" w:rsidRDefault="000760D1">
      <w:pPr>
        <w:spacing w:after="0"/>
      </w:pPr>
    </w:p>
    <w:p w14:paraId="2D2F4A01" w14:textId="77777777" w:rsidR="000760D1" w:rsidRDefault="00000000">
      <w:r>
        <w:t xml:space="preserve">Ukupne obveze Grada na kraju izvještajnog razdoblja iznose 2.173.728,81 € (V0006), od toga nedospjelih obveza je 2.141.654,07 € (V009). U nedospjelim obvezama, najveći udio imaju obveze za dugoročne kredite koje iznose 1.567.031,44  €. Ukupno dospjele obveze na kraju </w:t>
      </w:r>
      <w:r>
        <w:lastRenderedPageBreak/>
        <w:t>izvještajnog razdoblja su 32.074,74 € (V007). Prekoračenje rokova dospijeća plaćanja odnosi se zakašnjele dostavljene račune te dio dospjelih obveza sadržan je i u okviru pokrenutih kompenzacija, koje do trenutka izrade financijskih izvještaja nisu završene.</w:t>
      </w:r>
    </w:p>
    <w:p w14:paraId="0A36C7C2" w14:textId="77777777" w:rsidR="000760D1" w:rsidRDefault="000760D1"/>
    <w:p w14:paraId="729A0436" w14:textId="77777777" w:rsidR="000760D1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p w14:paraId="19A0884D" w14:textId="77777777" w:rsidR="000760D1" w:rsidRDefault="00000000">
      <w:pPr>
        <w:spacing w:line="240" w:lineRule="auto"/>
        <w:jc w:val="both"/>
      </w:pPr>
      <w:r>
        <w:rPr>
          <w:b/>
        </w:rPr>
        <w:t>EU izvještaj</w:t>
      </w:r>
    </w:p>
    <w:p w14:paraId="3E99AF0A" w14:textId="77777777" w:rsidR="000760D1" w:rsidRDefault="00000000">
      <w:r>
        <w:t>Prihod na poziciji 63811 – Tekuće pomoći iz državnog proračuna temeljem prijenosa EU sredstava u 2025. godini ostvareni su u iznosu od 481.093,63 € iz Europskog socijalnog fonda plus (izvor 561) i odnose se na provedbu programa ZAŽELI IV., dok su rashodi po istom programu realizirani u iznosu od 392.782,14 €.</w:t>
      </w:r>
    </w:p>
    <w:p w14:paraId="28DCEDE6" w14:textId="77777777" w:rsidR="000760D1" w:rsidRDefault="00000000">
      <w:r>
        <w:t>Ostvareni prihod u iznosu od 87.781,79 € na poziciji 63821 – Kapitalne pomoći iz državnog proračuna sastoje se od prihoda iz izvora 565 – Europski poljoprivredni fond za ruralni razvoj u iznosu od 27.871,79 €, te je iznos od 27.880,00 € (pozicija 42273) utrošen za opremanje dječjeg igrališta u Iloku, dok je 60.000,00 € ostvareno iz nacionalnog sufinanciranja i u cijelosti utrošeno za dodatna ulaganja na građevinskim objektima – Obnova pročelja upravne zgrade (pozicija 45111).</w:t>
      </w:r>
    </w:p>
    <w:p w14:paraId="3E9F4D2C" w14:textId="77777777" w:rsidR="000760D1" w:rsidRDefault="00000000">
      <w:r>
        <w:t>Nadalje, ostvareni su rashodi po projektima u tijeku, za koje još nisu naplaćena sredstva, odnosno nisu ostvareni prihodi, što se očekuje tijekom 2026. godine i to:</w:t>
      </w:r>
    </w:p>
    <w:p w14:paraId="006068CE" w14:textId="77777777" w:rsidR="000760D1" w:rsidRDefault="00000000">
      <w:r>
        <w:t>-          2.625,02 € (izvor 510  - Programi unije) za početak projekta Izgradnja vatrogasnog doma (pozicija 42129)</w:t>
      </w:r>
    </w:p>
    <w:p w14:paraId="0DA155D2" w14:textId="77777777" w:rsidR="000760D1" w:rsidRDefault="00000000">
      <w:r>
        <w:t>-          14.687,50 € (izvor 581 – Mehaniza za oporavak i otpornost-bespovratna sredstva) za izradu projekta IV. izmjena i dopuna Plana prostornog uređenja Grada Iloka (pozicija 42637)</w:t>
      </w:r>
    </w:p>
    <w:p w14:paraId="01660880" w14:textId="77777777" w:rsidR="000760D1" w:rsidRDefault="000760D1"/>
    <w:sectPr w:rsidR="00076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1"/>
    <w:rsid w:val="000760D1"/>
    <w:rsid w:val="00495DB0"/>
    <w:rsid w:val="0090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39BF"/>
  <w15:docId w15:val="{20099A4A-29EE-4241-9702-DE84DE32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3054</Words>
  <Characters>17412</Characters>
  <Application>Microsoft Office Word</Application>
  <DocSecurity>0</DocSecurity>
  <Lines>145</Lines>
  <Paragraphs>40</Paragraphs>
  <ScaleCrop>false</ScaleCrop>
  <Company/>
  <LinksUpToDate>false</LinksUpToDate>
  <CharactersWithSpaces>20426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 Remenar</dc:creator>
  <cp:lastModifiedBy>Anka Remenar</cp:lastModifiedBy>
  <cp:revision>2</cp:revision>
  <cp:lastPrinted>2026-02-16T14:30:00Z</cp:lastPrinted>
  <dcterms:created xsi:type="dcterms:W3CDTF">2026-02-16T14:30:00Z</dcterms:created>
  <dcterms:modified xsi:type="dcterms:W3CDTF">2026-02-16T14:30:00Z</dcterms:modified>
</cp:coreProperties>
</file>